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66FA7" w14:textId="77777777" w:rsidR="007C18D9" w:rsidRDefault="007C18D9" w:rsidP="0033155B">
      <w:pPr>
        <w:keepNext/>
        <w:spacing w:after="0" w:line="240" w:lineRule="auto"/>
        <w:jc w:val="both"/>
        <w:outlineLvl w:val="1"/>
        <w:rPr>
          <w:rFonts w:ascii="Arial" w:eastAsia="Times New Roman" w:hAnsi="Arial"/>
          <w:b/>
          <w:sz w:val="18"/>
          <w:szCs w:val="20"/>
          <w:lang w:eastAsia="sk-SK"/>
        </w:rPr>
      </w:pPr>
    </w:p>
    <w:p w14:paraId="3DDF8220" w14:textId="77777777" w:rsidR="007C18D9" w:rsidRPr="007C18D9" w:rsidRDefault="007C18D9" w:rsidP="0033155B">
      <w:pPr>
        <w:keepNext/>
        <w:spacing w:after="0" w:line="240" w:lineRule="auto"/>
        <w:jc w:val="both"/>
        <w:outlineLvl w:val="1"/>
        <w:rPr>
          <w:rFonts w:ascii="Arial" w:eastAsia="Times New Roman" w:hAnsi="Arial"/>
          <w:b/>
          <w:lang w:eastAsia="sk-SK"/>
        </w:rPr>
      </w:pPr>
    </w:p>
    <w:p w14:paraId="694B8B5C" w14:textId="20AC987B" w:rsidR="0033155B" w:rsidRDefault="007C18D9" w:rsidP="0033155B">
      <w:pPr>
        <w:keepNext/>
        <w:spacing w:after="0" w:line="240" w:lineRule="auto"/>
        <w:jc w:val="both"/>
        <w:outlineLvl w:val="1"/>
        <w:rPr>
          <w:rFonts w:ascii="Arial" w:eastAsia="Times New Roman" w:hAnsi="Arial"/>
          <w:b/>
          <w:lang w:eastAsia="sk-SK"/>
        </w:rPr>
      </w:pPr>
      <w:r w:rsidRPr="007C18D9">
        <w:rPr>
          <w:rFonts w:ascii="Arial" w:eastAsia="Times New Roman" w:hAnsi="Arial"/>
          <w:b/>
          <w:lang w:eastAsia="sk-SK"/>
        </w:rPr>
        <w:t>V Bratislave 10.02.2020</w:t>
      </w:r>
    </w:p>
    <w:p w14:paraId="186279EF" w14:textId="14EC71BC" w:rsidR="007C18D9" w:rsidRDefault="007C18D9" w:rsidP="0033155B">
      <w:pPr>
        <w:keepNext/>
        <w:spacing w:after="0" w:line="240" w:lineRule="auto"/>
        <w:jc w:val="both"/>
        <w:outlineLvl w:val="1"/>
        <w:rPr>
          <w:rFonts w:ascii="Arial" w:eastAsia="Times New Roman" w:hAnsi="Arial"/>
          <w:b/>
          <w:lang w:eastAsia="sk-SK"/>
        </w:rPr>
      </w:pPr>
    </w:p>
    <w:p w14:paraId="4DD3FDB5" w14:textId="58B8DC5F" w:rsidR="007C18D9" w:rsidRDefault="007C18D9" w:rsidP="0033155B">
      <w:pPr>
        <w:keepNext/>
        <w:spacing w:after="0" w:line="240" w:lineRule="auto"/>
        <w:jc w:val="both"/>
        <w:outlineLvl w:val="1"/>
        <w:rPr>
          <w:rFonts w:ascii="Arial" w:eastAsia="Times New Roman" w:hAnsi="Arial"/>
          <w:b/>
          <w:lang w:eastAsia="sk-SK"/>
        </w:rPr>
      </w:pPr>
    </w:p>
    <w:p w14:paraId="46EB1DA0" w14:textId="44DC594B" w:rsidR="007C18D9" w:rsidRDefault="007C18D9" w:rsidP="0033155B">
      <w:pPr>
        <w:keepNext/>
        <w:spacing w:after="0" w:line="240" w:lineRule="auto"/>
        <w:jc w:val="both"/>
        <w:outlineLvl w:val="1"/>
        <w:rPr>
          <w:rFonts w:ascii="Arial" w:eastAsia="Times New Roman" w:hAnsi="Arial"/>
          <w:b/>
          <w:lang w:eastAsia="sk-SK"/>
        </w:rPr>
      </w:pPr>
    </w:p>
    <w:p w14:paraId="78C3FC25" w14:textId="77777777" w:rsidR="007C18D9" w:rsidRDefault="007C18D9" w:rsidP="0033155B">
      <w:pPr>
        <w:keepNext/>
        <w:spacing w:after="0" w:line="240" w:lineRule="auto"/>
        <w:jc w:val="both"/>
        <w:outlineLvl w:val="1"/>
        <w:rPr>
          <w:rFonts w:ascii="Arial" w:eastAsia="Times New Roman" w:hAnsi="Arial"/>
          <w:b/>
          <w:lang w:eastAsia="sk-SK"/>
        </w:rPr>
      </w:pPr>
      <w:r>
        <w:rPr>
          <w:rFonts w:ascii="Arial" w:eastAsia="Times New Roman" w:hAnsi="Arial"/>
          <w:b/>
          <w:lang w:eastAsia="sk-SK"/>
        </w:rPr>
        <w:t xml:space="preserve">Vec: Správa o činnosti stáleho Rozhodcovského súdu Slovenskej poľovníckej komory </w:t>
      </w:r>
    </w:p>
    <w:p w14:paraId="545A67BD" w14:textId="5FAF3669" w:rsidR="007C18D9" w:rsidRDefault="007C18D9" w:rsidP="007C18D9">
      <w:pPr>
        <w:keepNext/>
        <w:spacing w:after="0"/>
        <w:jc w:val="both"/>
        <w:outlineLvl w:val="1"/>
        <w:rPr>
          <w:rFonts w:ascii="Arial" w:eastAsia="Times New Roman" w:hAnsi="Arial"/>
          <w:b/>
          <w:lang w:eastAsia="sk-SK"/>
        </w:rPr>
      </w:pPr>
      <w:r>
        <w:rPr>
          <w:rFonts w:ascii="Arial" w:eastAsia="Times New Roman" w:hAnsi="Arial"/>
          <w:b/>
          <w:lang w:eastAsia="sk-SK"/>
        </w:rPr>
        <w:t xml:space="preserve">         za rok 2019</w:t>
      </w:r>
    </w:p>
    <w:p w14:paraId="5FC74BA9" w14:textId="7BAE7359" w:rsidR="007C18D9" w:rsidRDefault="007C18D9" w:rsidP="007C18D9">
      <w:pPr>
        <w:keepNext/>
        <w:spacing w:after="0"/>
        <w:jc w:val="both"/>
        <w:outlineLvl w:val="1"/>
        <w:rPr>
          <w:rFonts w:ascii="Arial" w:eastAsia="Times New Roman" w:hAnsi="Arial"/>
          <w:b/>
          <w:lang w:eastAsia="sk-SK"/>
        </w:rPr>
      </w:pPr>
    </w:p>
    <w:p w14:paraId="6E8C1F2E" w14:textId="10951FAD" w:rsidR="007C18D9" w:rsidRDefault="007C18D9" w:rsidP="007C18D9">
      <w:pPr>
        <w:keepNext/>
        <w:spacing w:after="0"/>
        <w:jc w:val="both"/>
        <w:outlineLvl w:val="1"/>
        <w:rPr>
          <w:rFonts w:ascii="Arial" w:eastAsia="Times New Roman" w:hAnsi="Arial"/>
          <w:b/>
          <w:lang w:eastAsia="sk-SK"/>
        </w:rPr>
      </w:pPr>
    </w:p>
    <w:p w14:paraId="43ECDBFB" w14:textId="36CED03B" w:rsidR="007C18D9" w:rsidRDefault="007C18D9" w:rsidP="007C18D9">
      <w:pPr>
        <w:keepNext/>
        <w:spacing w:after="0"/>
        <w:jc w:val="both"/>
        <w:outlineLvl w:val="1"/>
        <w:rPr>
          <w:rFonts w:ascii="Arial" w:eastAsia="Times New Roman" w:hAnsi="Arial"/>
          <w:bCs/>
          <w:lang w:eastAsia="sk-SK"/>
        </w:rPr>
      </w:pPr>
      <w:r>
        <w:rPr>
          <w:rFonts w:ascii="Arial" w:eastAsia="Times New Roman" w:hAnsi="Arial"/>
          <w:bCs/>
          <w:lang w:eastAsia="sk-SK"/>
        </w:rPr>
        <w:t xml:space="preserve">Slovenská poľovnícka komora ako zriaďovateľ stáleho Rozhodcovského súdu Slovenskej poľovníckej komory v zmysle § 12 ods. 6) zákona č. 244/2002 Z. z. o rozhodcovskom konaní </w:t>
      </w:r>
      <w:r w:rsidR="00353389">
        <w:rPr>
          <w:rFonts w:ascii="Arial" w:eastAsia="Times New Roman" w:hAnsi="Arial"/>
          <w:bCs/>
          <w:lang w:eastAsia="sk-SK"/>
        </w:rPr>
        <w:t xml:space="preserve">na svojom webovom sídle </w:t>
      </w:r>
      <w:r>
        <w:rPr>
          <w:rFonts w:ascii="Arial" w:eastAsia="Times New Roman" w:hAnsi="Arial"/>
          <w:bCs/>
          <w:lang w:eastAsia="sk-SK"/>
        </w:rPr>
        <w:t>zverejňuje správu o svojej činnosti za predchádzajúci kalendárny</w:t>
      </w:r>
      <w:r w:rsidR="00353389">
        <w:rPr>
          <w:rFonts w:ascii="Arial" w:eastAsia="Times New Roman" w:hAnsi="Arial"/>
          <w:bCs/>
          <w:lang w:eastAsia="sk-SK"/>
        </w:rPr>
        <w:t xml:space="preserve"> rok.</w:t>
      </w:r>
    </w:p>
    <w:p w14:paraId="4E00511D" w14:textId="7D3499AD" w:rsidR="007C18D9" w:rsidRDefault="007C18D9" w:rsidP="007C18D9">
      <w:pPr>
        <w:keepNext/>
        <w:spacing w:after="0"/>
        <w:jc w:val="both"/>
        <w:outlineLvl w:val="1"/>
        <w:rPr>
          <w:rFonts w:ascii="Arial" w:eastAsia="Times New Roman" w:hAnsi="Arial"/>
          <w:bCs/>
          <w:lang w:eastAsia="sk-SK"/>
        </w:rPr>
      </w:pPr>
    </w:p>
    <w:p w14:paraId="65F88160" w14:textId="1D1152F5" w:rsidR="007C18D9" w:rsidRDefault="00BA1F17" w:rsidP="007C18D9">
      <w:pPr>
        <w:keepNext/>
        <w:spacing w:after="0"/>
        <w:jc w:val="both"/>
        <w:outlineLvl w:val="1"/>
        <w:rPr>
          <w:rFonts w:ascii="Arial" w:eastAsia="Times New Roman" w:hAnsi="Arial"/>
          <w:bCs/>
          <w:lang w:eastAsia="sk-SK"/>
        </w:rPr>
      </w:pPr>
      <w:r>
        <w:rPr>
          <w:rFonts w:ascii="Arial" w:eastAsia="Times New Roman" w:hAnsi="Arial"/>
          <w:b/>
          <w:lang w:eastAsia="sk-SK"/>
        </w:rPr>
        <w:t>1.</w:t>
      </w:r>
      <w:r>
        <w:rPr>
          <w:rFonts w:ascii="Arial" w:eastAsia="Times New Roman" w:hAnsi="Arial"/>
          <w:bCs/>
          <w:lang w:eastAsia="sk-SK"/>
        </w:rPr>
        <w:t>Rozhodcovský súd Slovenskej poľovníckej komory bol schválený VIII. snemom SPK dňa 27.04.2019 v Žiline.</w:t>
      </w:r>
    </w:p>
    <w:p w14:paraId="5CAB7243" w14:textId="19062DA2" w:rsidR="00353389" w:rsidRDefault="00BA1F17" w:rsidP="007C18D9">
      <w:pPr>
        <w:keepNext/>
        <w:spacing w:after="0"/>
        <w:jc w:val="both"/>
        <w:outlineLvl w:val="1"/>
        <w:rPr>
          <w:rFonts w:ascii="Arial" w:eastAsia="Times New Roman" w:hAnsi="Arial"/>
          <w:bCs/>
          <w:lang w:eastAsia="sk-SK"/>
        </w:rPr>
      </w:pPr>
      <w:r>
        <w:rPr>
          <w:rFonts w:ascii="Arial" w:eastAsia="Times New Roman" w:hAnsi="Arial"/>
          <w:b/>
          <w:lang w:eastAsia="sk-SK"/>
        </w:rPr>
        <w:t>2.</w:t>
      </w:r>
      <w:r w:rsidRPr="00BA1F17">
        <w:rPr>
          <w:rFonts w:ascii="Arial" w:eastAsia="Times New Roman" w:hAnsi="Arial"/>
          <w:bCs/>
          <w:lang w:eastAsia="sk-SK"/>
        </w:rPr>
        <w:t xml:space="preserve">Dokumenty </w:t>
      </w:r>
      <w:r>
        <w:rPr>
          <w:rFonts w:ascii="Arial" w:eastAsia="Times New Roman" w:hAnsi="Arial"/>
          <w:bCs/>
          <w:lang w:eastAsia="sk-SK"/>
        </w:rPr>
        <w:t xml:space="preserve">ako štatút, rokovací poriadok, sadzobník poplatkov boli zverejnené v Obchodnom vestníku </w:t>
      </w:r>
      <w:r w:rsidR="00353389">
        <w:rPr>
          <w:rFonts w:ascii="Arial" w:eastAsia="Times New Roman" w:hAnsi="Arial"/>
          <w:bCs/>
          <w:lang w:eastAsia="sk-SK"/>
        </w:rPr>
        <w:t>č</w:t>
      </w:r>
      <w:r>
        <w:rPr>
          <w:rFonts w:ascii="Arial" w:eastAsia="Times New Roman" w:hAnsi="Arial"/>
          <w:bCs/>
          <w:lang w:eastAsia="sk-SK"/>
        </w:rPr>
        <w:t xml:space="preserve"> 105/2019</w:t>
      </w:r>
      <w:r w:rsidR="00353389">
        <w:rPr>
          <w:rFonts w:ascii="Arial" w:eastAsia="Times New Roman" w:hAnsi="Arial"/>
          <w:bCs/>
          <w:lang w:eastAsia="sk-SK"/>
        </w:rPr>
        <w:t xml:space="preserve"> vydanom 03.06.2019. </w:t>
      </w:r>
    </w:p>
    <w:p w14:paraId="6121D1F3" w14:textId="36BA2419" w:rsidR="00BA1F17" w:rsidRPr="00353389" w:rsidRDefault="00353389" w:rsidP="007C18D9">
      <w:pPr>
        <w:keepNext/>
        <w:spacing w:after="0"/>
        <w:jc w:val="both"/>
        <w:outlineLvl w:val="1"/>
        <w:rPr>
          <w:rFonts w:ascii="Arial" w:hAnsi="Arial" w:cs="Arial"/>
        </w:rPr>
      </w:pPr>
      <w:hyperlink r:id="rId7" w:history="1">
        <w:r w:rsidRPr="00353389">
          <w:rPr>
            <w:rStyle w:val="Hypertextovprepojenie"/>
            <w:rFonts w:ascii="Arial" w:hAnsi="Arial" w:cs="Arial"/>
          </w:rPr>
          <w:t>https://www.justice.gov.sk/PortalApp/ObchodnyVestnik/Formular/FormularDetailHtml.aspx?IdFormular=2172242</w:t>
        </w:r>
      </w:hyperlink>
    </w:p>
    <w:p w14:paraId="1E07AD73" w14:textId="1F2B4D72" w:rsidR="00353389" w:rsidRPr="00353389" w:rsidRDefault="00353389" w:rsidP="007C18D9">
      <w:pPr>
        <w:keepNext/>
        <w:spacing w:after="0"/>
        <w:jc w:val="both"/>
        <w:outlineLvl w:val="1"/>
        <w:rPr>
          <w:rFonts w:ascii="Arial" w:hAnsi="Arial" w:cs="Arial"/>
        </w:rPr>
      </w:pPr>
      <w:r w:rsidRPr="00353389">
        <w:rPr>
          <w:rFonts w:ascii="Arial" w:hAnsi="Arial" w:cs="Arial"/>
          <w:b/>
          <w:bCs/>
        </w:rPr>
        <w:t xml:space="preserve">3.a) </w:t>
      </w:r>
      <w:r w:rsidRPr="00353389">
        <w:rPr>
          <w:rFonts w:ascii="Arial" w:hAnsi="Arial" w:cs="Arial"/>
        </w:rPr>
        <w:t>počet začatých konaní- 0,</w:t>
      </w:r>
    </w:p>
    <w:p w14:paraId="5B46DA64" w14:textId="1D3E1F5E" w:rsidR="00353389" w:rsidRPr="00353389" w:rsidRDefault="00353389" w:rsidP="007C18D9">
      <w:pPr>
        <w:keepNext/>
        <w:spacing w:after="0"/>
        <w:jc w:val="both"/>
        <w:outlineLvl w:val="1"/>
        <w:rPr>
          <w:rFonts w:ascii="Arial" w:hAnsi="Arial" w:cs="Arial"/>
        </w:rPr>
      </w:pPr>
      <w:r w:rsidRPr="00353389">
        <w:rPr>
          <w:rFonts w:ascii="Arial" w:hAnsi="Arial" w:cs="Arial"/>
        </w:rPr>
        <w:t xml:space="preserve">   </w:t>
      </w:r>
      <w:r w:rsidRPr="00353389">
        <w:rPr>
          <w:rFonts w:ascii="Arial" w:hAnsi="Arial" w:cs="Arial"/>
          <w:b/>
          <w:bCs/>
        </w:rPr>
        <w:t>b)</w:t>
      </w:r>
      <w:r w:rsidRPr="00353389">
        <w:rPr>
          <w:rFonts w:ascii="Arial" w:hAnsi="Arial" w:cs="Arial"/>
        </w:rPr>
        <w:t xml:space="preserve"> počet prebiehajúcich konaní-0,</w:t>
      </w:r>
    </w:p>
    <w:p w14:paraId="27A8D1CA" w14:textId="6731AE4B" w:rsidR="00353389" w:rsidRDefault="00353389" w:rsidP="007C18D9">
      <w:pPr>
        <w:keepNext/>
        <w:spacing w:after="0"/>
        <w:jc w:val="both"/>
        <w:outlineLvl w:val="1"/>
        <w:rPr>
          <w:rFonts w:ascii="Arial" w:hAnsi="Arial" w:cs="Arial"/>
        </w:rPr>
      </w:pPr>
      <w:r w:rsidRPr="00353389">
        <w:rPr>
          <w:rFonts w:ascii="Arial" w:hAnsi="Arial" w:cs="Arial"/>
        </w:rPr>
        <w:t xml:space="preserve">   </w:t>
      </w:r>
      <w:r w:rsidRPr="00353389">
        <w:rPr>
          <w:rFonts w:ascii="Arial" w:hAnsi="Arial" w:cs="Arial"/>
          <w:b/>
          <w:bCs/>
        </w:rPr>
        <w:t xml:space="preserve">c) </w:t>
      </w:r>
      <w:r w:rsidRPr="00353389">
        <w:rPr>
          <w:rFonts w:ascii="Arial" w:hAnsi="Arial" w:cs="Arial"/>
        </w:rPr>
        <w:t>počet ukončených konaní-0</w:t>
      </w:r>
      <w:r w:rsidR="001272FB">
        <w:rPr>
          <w:rFonts w:ascii="Arial" w:hAnsi="Arial" w:cs="Arial"/>
        </w:rPr>
        <w:t>.</w:t>
      </w:r>
    </w:p>
    <w:p w14:paraId="10B19D4E" w14:textId="08EC7761" w:rsidR="00353389" w:rsidRDefault="00353389" w:rsidP="007C18D9">
      <w:pPr>
        <w:keepNext/>
        <w:spacing w:after="0"/>
        <w:jc w:val="both"/>
        <w:outlineLvl w:val="1"/>
        <w:rPr>
          <w:rFonts w:ascii="Arial" w:hAnsi="Arial" w:cs="Arial"/>
        </w:rPr>
      </w:pPr>
    </w:p>
    <w:p w14:paraId="72AC86FF" w14:textId="5FC3DEC5" w:rsidR="00353389" w:rsidRDefault="00353389" w:rsidP="007C18D9">
      <w:pPr>
        <w:keepNext/>
        <w:spacing w:after="0"/>
        <w:jc w:val="both"/>
        <w:outlineLvl w:val="1"/>
        <w:rPr>
          <w:rFonts w:ascii="Arial" w:hAnsi="Arial" w:cs="Arial"/>
        </w:rPr>
      </w:pPr>
    </w:p>
    <w:p w14:paraId="78460866" w14:textId="31BD3348" w:rsidR="00353389" w:rsidRDefault="00353389" w:rsidP="007C18D9">
      <w:pPr>
        <w:keepNext/>
        <w:spacing w:after="0"/>
        <w:jc w:val="both"/>
        <w:outlineLvl w:val="1"/>
        <w:rPr>
          <w:rFonts w:ascii="Arial" w:hAnsi="Arial" w:cs="Arial"/>
        </w:rPr>
      </w:pPr>
    </w:p>
    <w:p w14:paraId="42651F4E" w14:textId="3C6EDE7C" w:rsidR="00353389" w:rsidRDefault="00353389" w:rsidP="007C18D9">
      <w:pPr>
        <w:keepNext/>
        <w:spacing w:after="0"/>
        <w:jc w:val="both"/>
        <w:outlineLvl w:val="1"/>
        <w:rPr>
          <w:rFonts w:ascii="Arial" w:hAnsi="Arial" w:cs="Arial"/>
        </w:rPr>
      </w:pPr>
    </w:p>
    <w:p w14:paraId="045A0B26" w14:textId="0D6A6AF4" w:rsidR="00353389" w:rsidRDefault="00353389" w:rsidP="007C18D9">
      <w:pPr>
        <w:keepNext/>
        <w:spacing w:after="0"/>
        <w:jc w:val="both"/>
        <w:outlineLvl w:val="1"/>
        <w:rPr>
          <w:rFonts w:ascii="Arial" w:hAnsi="Arial" w:cs="Arial"/>
        </w:rPr>
      </w:pPr>
    </w:p>
    <w:p w14:paraId="4695C451" w14:textId="0FF4D8A7" w:rsidR="00353389" w:rsidRDefault="00353389" w:rsidP="007C18D9">
      <w:pPr>
        <w:keepNext/>
        <w:spacing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Ing. Tibor Lebocký, PhD. v. r.                                                JUDr. </w:t>
      </w:r>
      <w:r w:rsidR="001272FB">
        <w:rPr>
          <w:rFonts w:ascii="Arial" w:hAnsi="Arial" w:cs="Arial"/>
        </w:rPr>
        <w:t>Miroslav Abelovský  v. r.</w:t>
      </w:r>
    </w:p>
    <w:p w14:paraId="5A90FB5D" w14:textId="1DFBFD50" w:rsidR="001272FB" w:rsidRPr="00353389" w:rsidRDefault="001272FB" w:rsidP="007C18D9">
      <w:pPr>
        <w:keepNext/>
        <w:spacing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prezident SPK                                                              predseda rozhodcovského súdu</w:t>
      </w:r>
    </w:p>
    <w:p w14:paraId="0955AF0F" w14:textId="77777777" w:rsidR="00353389" w:rsidRPr="00353389" w:rsidRDefault="00353389" w:rsidP="007C18D9">
      <w:pPr>
        <w:keepNext/>
        <w:spacing w:after="0"/>
        <w:jc w:val="both"/>
        <w:outlineLvl w:val="1"/>
        <w:rPr>
          <w:rFonts w:ascii="Arial" w:eastAsia="Times New Roman" w:hAnsi="Arial"/>
          <w:lang w:eastAsia="sk-SK"/>
        </w:rPr>
      </w:pPr>
    </w:p>
    <w:p w14:paraId="122E4987" w14:textId="77777777" w:rsidR="00B50321" w:rsidRPr="00F72D85" w:rsidRDefault="00B50321" w:rsidP="00B50321">
      <w:pPr>
        <w:rPr>
          <w:rFonts w:ascii="Times New Roman" w:hAnsi="Times New Roman"/>
          <w:sz w:val="24"/>
        </w:rPr>
      </w:pPr>
    </w:p>
    <w:sectPr w:rsidR="00B50321" w:rsidRPr="00F72D85" w:rsidSect="00EF7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63CFA" w14:textId="77777777" w:rsidR="00CA6E0D" w:rsidRDefault="00CA6E0D" w:rsidP="00872C03">
      <w:pPr>
        <w:spacing w:after="0" w:line="240" w:lineRule="auto"/>
      </w:pPr>
      <w:r>
        <w:separator/>
      </w:r>
    </w:p>
  </w:endnote>
  <w:endnote w:type="continuationSeparator" w:id="0">
    <w:p w14:paraId="2841D2D4" w14:textId="77777777" w:rsidR="00CA6E0D" w:rsidRDefault="00CA6E0D" w:rsidP="0087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1F44" w14:textId="77777777" w:rsidR="00366A93" w:rsidRDefault="00366A9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EAC9F" w14:textId="77777777" w:rsidR="00366A93" w:rsidRDefault="00366A9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75DE" w14:textId="77777777" w:rsidR="00EF7DF3" w:rsidRPr="00E55975" w:rsidRDefault="00EF7DF3" w:rsidP="00EF7DF3">
    <w:pPr>
      <w:pStyle w:val="Pta"/>
      <w:spacing w:after="0"/>
      <w:rPr>
        <w:rFonts w:ascii="Times New Roman" w:hAnsi="Times New Roman"/>
        <w:sz w:val="16"/>
      </w:rPr>
    </w:pPr>
  </w:p>
  <w:tbl>
    <w:tblPr>
      <w:tblStyle w:val="Mriekatabuky1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83"/>
      <w:gridCol w:w="1985"/>
      <w:gridCol w:w="283"/>
      <w:gridCol w:w="3544"/>
    </w:tblGrid>
    <w:tr w:rsidR="00DA24FD" w:rsidRPr="00E55975" w14:paraId="7B1775F7" w14:textId="77777777" w:rsidTr="00E55975">
      <w:tc>
        <w:tcPr>
          <w:tcW w:w="3119" w:type="dxa"/>
          <w:tcBorders>
            <w:top w:val="single" w:sz="4" w:space="0" w:color="auto"/>
          </w:tcBorders>
        </w:tcPr>
        <w:p w14:paraId="546AA81A" w14:textId="77777777" w:rsidR="00EF7DF3" w:rsidRPr="00E55975" w:rsidRDefault="00EF7DF3" w:rsidP="00DA24F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  <w:r w:rsidRPr="00E55975">
            <w:rPr>
              <w:rFonts w:ascii="Times New Roman" w:hAnsi="Times New Roman"/>
              <w:sz w:val="20"/>
              <w:szCs w:val="16"/>
              <w:lang w:eastAsia="sk-SK"/>
            </w:rPr>
            <w:t>Štefánikova 10</w:t>
          </w:r>
          <w:r w:rsidR="00DA24FD" w:rsidRPr="00E55975">
            <w:rPr>
              <w:rFonts w:ascii="Times New Roman" w:hAnsi="Times New Roman"/>
              <w:sz w:val="20"/>
              <w:szCs w:val="16"/>
              <w:lang w:eastAsia="sk-SK"/>
            </w:rPr>
            <w:t>,</w:t>
          </w:r>
          <w:r w:rsidRPr="00E55975">
            <w:rPr>
              <w:rFonts w:ascii="Times New Roman" w:hAnsi="Times New Roman"/>
              <w:sz w:val="20"/>
              <w:szCs w:val="16"/>
              <w:lang w:eastAsia="sk-SK"/>
            </w:rPr>
            <w:t xml:space="preserve"> 811 05 Bratislava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1ABFE136" w14:textId="77777777" w:rsidR="00EF7DF3" w:rsidRPr="00E55975" w:rsidRDefault="00EF7DF3" w:rsidP="00DA24F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</w:p>
      </w:tc>
      <w:tc>
        <w:tcPr>
          <w:tcW w:w="1985" w:type="dxa"/>
          <w:tcBorders>
            <w:top w:val="single" w:sz="4" w:space="0" w:color="auto"/>
          </w:tcBorders>
        </w:tcPr>
        <w:p w14:paraId="4E2FA072" w14:textId="77777777" w:rsidR="00EF7DF3" w:rsidRPr="00E55975" w:rsidRDefault="00EF7DF3" w:rsidP="00DA24F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  <w:r w:rsidRPr="00E55975">
            <w:rPr>
              <w:rFonts w:ascii="Times New Roman" w:hAnsi="Times New Roman"/>
              <w:sz w:val="20"/>
              <w:szCs w:val="16"/>
              <w:lang w:eastAsia="sk-SK"/>
            </w:rPr>
            <w:t>tel.: +421 2 572033</w:t>
          </w:r>
          <w:r w:rsidR="00DA24FD" w:rsidRPr="00E55975">
            <w:rPr>
              <w:rFonts w:ascii="Times New Roman" w:hAnsi="Times New Roman"/>
              <w:sz w:val="20"/>
              <w:szCs w:val="16"/>
              <w:lang w:eastAsia="sk-SK"/>
            </w:rPr>
            <w:t>1</w:t>
          </w:r>
          <w:r w:rsidRPr="00E55975">
            <w:rPr>
              <w:rFonts w:ascii="Times New Roman" w:hAnsi="Times New Roman"/>
              <w:sz w:val="20"/>
              <w:szCs w:val="16"/>
              <w:lang w:eastAsia="sk-SK"/>
            </w:rPr>
            <w:t>1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142B085D" w14:textId="77777777" w:rsidR="00EF7DF3" w:rsidRPr="00E55975" w:rsidRDefault="00EF7DF3" w:rsidP="00DA24F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</w:p>
      </w:tc>
      <w:tc>
        <w:tcPr>
          <w:tcW w:w="3544" w:type="dxa"/>
          <w:tcBorders>
            <w:top w:val="single" w:sz="4" w:space="0" w:color="auto"/>
          </w:tcBorders>
        </w:tcPr>
        <w:p w14:paraId="51EC8E2F" w14:textId="77777777" w:rsidR="00EF7DF3" w:rsidRPr="00E55975" w:rsidRDefault="00EF7DF3" w:rsidP="00DA24F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  <w:r w:rsidRPr="00E55975">
            <w:rPr>
              <w:rFonts w:ascii="Times New Roman" w:hAnsi="Times New Roman"/>
              <w:sz w:val="20"/>
              <w:szCs w:val="16"/>
              <w:lang w:eastAsia="sk-SK"/>
            </w:rPr>
            <w:t>IČO:42175682  DIČ: 2022958212</w:t>
          </w:r>
        </w:p>
      </w:tc>
    </w:tr>
    <w:tr w:rsidR="00DA24FD" w:rsidRPr="00E55975" w14:paraId="2F5C3F5E" w14:textId="77777777" w:rsidTr="00E55975">
      <w:tc>
        <w:tcPr>
          <w:tcW w:w="3119" w:type="dxa"/>
        </w:tcPr>
        <w:p w14:paraId="4E157D37" w14:textId="77777777" w:rsidR="00EF7DF3" w:rsidRPr="00E55975" w:rsidRDefault="00EF7DF3" w:rsidP="00EF7DF3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  <w:r w:rsidRPr="00E55975">
            <w:rPr>
              <w:rFonts w:ascii="Times New Roman" w:hAnsi="Times New Roman"/>
              <w:sz w:val="20"/>
              <w:szCs w:val="16"/>
              <w:lang w:eastAsia="sk-SK"/>
            </w:rPr>
            <w:t xml:space="preserve">e-mail: </w:t>
          </w:r>
          <w:hyperlink r:id="rId1" w:history="1">
            <w:r w:rsidR="00DA24FD" w:rsidRPr="00B50321">
              <w:rPr>
                <w:rStyle w:val="Hypertextovprepojenie"/>
                <w:rFonts w:ascii="Times New Roman" w:hAnsi="Times New Roman"/>
                <w:color w:val="1F4E79" w:themeColor="accent5" w:themeShade="80"/>
                <w:sz w:val="20"/>
                <w:szCs w:val="16"/>
                <w:lang w:eastAsia="cs-CZ"/>
              </w:rPr>
              <w:t>sekretariat@polovnictvo.sk</w:t>
            </w:r>
          </w:hyperlink>
        </w:p>
        <w:p w14:paraId="297183D1" w14:textId="77777777" w:rsidR="00EF7DF3" w:rsidRPr="00E55975" w:rsidRDefault="00EF7DF3" w:rsidP="00EF7DF3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  <w:r w:rsidRPr="00E55975">
            <w:rPr>
              <w:rFonts w:ascii="Times New Roman" w:hAnsi="Times New Roman"/>
              <w:sz w:val="20"/>
              <w:szCs w:val="16"/>
              <w:lang w:eastAsia="cs-CZ"/>
            </w:rPr>
            <w:t xml:space="preserve">web.: </w:t>
          </w:r>
          <w:hyperlink r:id="rId2" w:history="1">
            <w:r w:rsidRPr="00B50321">
              <w:rPr>
                <w:rFonts w:ascii="Times New Roman" w:hAnsi="Times New Roman"/>
                <w:color w:val="1F4E79" w:themeColor="accent5" w:themeShade="80"/>
                <w:sz w:val="20"/>
                <w:szCs w:val="16"/>
                <w:u w:val="single"/>
                <w:lang w:eastAsia="cs-CZ"/>
              </w:rPr>
              <w:t>www.polovnickakomora.sk</w:t>
            </w:r>
          </w:hyperlink>
        </w:p>
      </w:tc>
      <w:tc>
        <w:tcPr>
          <w:tcW w:w="283" w:type="dxa"/>
        </w:tcPr>
        <w:p w14:paraId="02DAC4CB" w14:textId="77777777" w:rsidR="00EF7DF3" w:rsidRPr="00E55975" w:rsidRDefault="00EF7DF3" w:rsidP="00EF7DF3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</w:p>
      </w:tc>
      <w:tc>
        <w:tcPr>
          <w:tcW w:w="1985" w:type="dxa"/>
        </w:tcPr>
        <w:p w14:paraId="1DBC4763" w14:textId="77777777" w:rsidR="00EF7DF3" w:rsidRPr="00E55975" w:rsidRDefault="00EF7DF3" w:rsidP="00EF7DF3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  <w:r w:rsidRPr="00E55975">
            <w:rPr>
              <w:rFonts w:ascii="Times New Roman" w:hAnsi="Times New Roman"/>
              <w:sz w:val="20"/>
              <w:szCs w:val="16"/>
              <w:lang w:eastAsia="cs-CZ"/>
            </w:rPr>
            <w:t xml:space="preserve">fax: </w:t>
          </w:r>
          <w:r w:rsidRPr="00E55975">
            <w:rPr>
              <w:rFonts w:ascii="Times New Roman" w:hAnsi="Times New Roman"/>
              <w:sz w:val="20"/>
              <w:szCs w:val="16"/>
              <w:lang w:eastAsia="sk-SK"/>
            </w:rPr>
            <w:t>+421 2 57203315</w:t>
          </w:r>
        </w:p>
      </w:tc>
      <w:tc>
        <w:tcPr>
          <w:tcW w:w="283" w:type="dxa"/>
        </w:tcPr>
        <w:p w14:paraId="5B0B57D0" w14:textId="77777777" w:rsidR="00EF7DF3" w:rsidRPr="00E55975" w:rsidRDefault="00EF7DF3" w:rsidP="00EF7DF3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</w:p>
      </w:tc>
      <w:tc>
        <w:tcPr>
          <w:tcW w:w="3544" w:type="dxa"/>
        </w:tcPr>
        <w:p w14:paraId="5D34B5E8" w14:textId="77777777" w:rsidR="00EF7DF3" w:rsidRPr="00E55975" w:rsidRDefault="00EF7DF3" w:rsidP="00EF7DF3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  <w:r w:rsidRPr="00E55975">
            <w:rPr>
              <w:rFonts w:ascii="Times New Roman" w:hAnsi="Times New Roman"/>
              <w:sz w:val="20"/>
              <w:szCs w:val="16"/>
              <w:lang w:eastAsia="sk-SK"/>
            </w:rPr>
            <w:t>Bankové spojenie: Tatra banka</w:t>
          </w:r>
        </w:p>
        <w:p w14:paraId="4A335BF9" w14:textId="77777777" w:rsidR="00EF7DF3" w:rsidRPr="00E55975" w:rsidRDefault="00EF7DF3" w:rsidP="00EF7DF3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20"/>
              <w:szCs w:val="16"/>
              <w:lang w:eastAsia="cs-CZ"/>
            </w:rPr>
          </w:pPr>
          <w:r w:rsidRPr="00E55975">
            <w:rPr>
              <w:rFonts w:ascii="Times New Roman" w:hAnsi="Times New Roman"/>
              <w:sz w:val="20"/>
              <w:szCs w:val="16"/>
              <w:lang w:eastAsia="cs-CZ"/>
            </w:rPr>
            <w:t>IBAN: SK89 1100 0000 0029 2183 1350</w:t>
          </w:r>
        </w:p>
      </w:tc>
    </w:tr>
  </w:tbl>
  <w:p w14:paraId="00F7BFCF" w14:textId="77777777" w:rsidR="00EF7DF3" w:rsidRPr="00E55975" w:rsidRDefault="00EF7DF3" w:rsidP="00EF7DF3">
    <w:pPr>
      <w:pStyle w:val="Pta"/>
      <w:spacing w:after="0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AA4F" w14:textId="77777777" w:rsidR="00CA6E0D" w:rsidRDefault="00CA6E0D" w:rsidP="00872C03">
      <w:pPr>
        <w:spacing w:after="0" w:line="240" w:lineRule="auto"/>
      </w:pPr>
      <w:r>
        <w:separator/>
      </w:r>
    </w:p>
  </w:footnote>
  <w:footnote w:type="continuationSeparator" w:id="0">
    <w:p w14:paraId="7117C57A" w14:textId="77777777" w:rsidR="00CA6E0D" w:rsidRDefault="00CA6E0D" w:rsidP="0087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46081" w14:textId="77777777" w:rsidR="00366A93" w:rsidRDefault="00366A9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8025C" w14:textId="77777777" w:rsidR="00366A93" w:rsidRDefault="00366A9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1C23A" w14:textId="77777777" w:rsidR="00EF7DF3" w:rsidRDefault="00EF7DF3" w:rsidP="00366A93">
    <w:pPr>
      <w:pStyle w:val="Nadpis3"/>
      <w:spacing w:before="120"/>
      <w:ind w:left="1474"/>
    </w:pPr>
    <w:r w:rsidRPr="00366A93">
      <w:rPr>
        <w:noProof/>
        <w:sz w:val="52"/>
      </w:rPr>
      <w:drawing>
        <wp:anchor distT="0" distB="0" distL="0" distR="0" simplePos="0" relativeHeight="251659264" behindDoc="1" locked="0" layoutInCell="1" allowOverlap="1" wp14:anchorId="6E10DA18" wp14:editId="178BC800">
          <wp:simplePos x="0" y="0"/>
          <wp:positionH relativeFrom="column">
            <wp:posOffset>63500</wp:posOffset>
          </wp:positionH>
          <wp:positionV relativeFrom="paragraph">
            <wp:posOffset>-29845</wp:posOffset>
          </wp:positionV>
          <wp:extent cx="867410" cy="108140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081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A93">
      <w:rPr>
        <w:sz w:val="52"/>
      </w:rPr>
      <w:t>Slovenská poľovnícka komora</w:t>
    </w:r>
  </w:p>
  <w:p w14:paraId="13750BCE" w14:textId="77777777" w:rsidR="003343F0" w:rsidRDefault="003343F0" w:rsidP="00366A93">
    <w:pPr>
      <w:pStyle w:val="Nadpis4"/>
      <w:spacing w:after="240"/>
      <w:ind w:left="1474"/>
      <w:rPr>
        <w:sz w:val="32"/>
      </w:rPr>
    </w:pPr>
    <w:r w:rsidRPr="00366A93">
      <w:t>Štefánikova 10, 811 05 Bratislava</w:t>
    </w:r>
  </w:p>
  <w:p w14:paraId="0C52A46C" w14:textId="77777777" w:rsidR="003343F0" w:rsidRPr="00B50321" w:rsidRDefault="003343F0" w:rsidP="003343F0">
    <w:pPr>
      <w:tabs>
        <w:tab w:val="left" w:pos="2235"/>
      </w:tabs>
      <w:rPr>
        <w:rFonts w:ascii="Times New Roman" w:hAnsi="Times New Roman"/>
        <w:sz w:val="10"/>
      </w:rPr>
    </w:pPr>
  </w:p>
  <w:p w14:paraId="597A7AC1" w14:textId="77777777" w:rsidR="003343F0" w:rsidRPr="00B50321" w:rsidRDefault="003343F0" w:rsidP="003343F0">
    <w:pPr>
      <w:pBdr>
        <w:top w:val="single" w:sz="4" w:space="1" w:color="auto"/>
      </w:pBdr>
      <w:tabs>
        <w:tab w:val="left" w:pos="2235"/>
      </w:tabs>
      <w:rPr>
        <w:rFonts w:ascii="Times New Roman" w:hAnsi="Times New Roman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E3B45"/>
    <w:multiLevelType w:val="hybridMultilevel"/>
    <w:tmpl w:val="96A6D158"/>
    <w:lvl w:ilvl="0" w:tplc="B29EC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5B"/>
    <w:rsid w:val="000B0128"/>
    <w:rsid w:val="0012011E"/>
    <w:rsid w:val="001272FB"/>
    <w:rsid w:val="00142101"/>
    <w:rsid w:val="001B131D"/>
    <w:rsid w:val="002E7BEF"/>
    <w:rsid w:val="0032103D"/>
    <w:rsid w:val="0033155B"/>
    <w:rsid w:val="003343F0"/>
    <w:rsid w:val="00336028"/>
    <w:rsid w:val="00353389"/>
    <w:rsid w:val="00366A93"/>
    <w:rsid w:val="003D5CFC"/>
    <w:rsid w:val="00446EFB"/>
    <w:rsid w:val="004C4BAD"/>
    <w:rsid w:val="00546285"/>
    <w:rsid w:val="0066533E"/>
    <w:rsid w:val="007C18D9"/>
    <w:rsid w:val="007E7BD0"/>
    <w:rsid w:val="0082426B"/>
    <w:rsid w:val="00872C03"/>
    <w:rsid w:val="008D1B5A"/>
    <w:rsid w:val="009773EF"/>
    <w:rsid w:val="00B35BFA"/>
    <w:rsid w:val="00B50321"/>
    <w:rsid w:val="00BA1F17"/>
    <w:rsid w:val="00BA218D"/>
    <w:rsid w:val="00CA6E0D"/>
    <w:rsid w:val="00D43957"/>
    <w:rsid w:val="00DA24FD"/>
    <w:rsid w:val="00E55975"/>
    <w:rsid w:val="00E950CF"/>
    <w:rsid w:val="00EF7DF3"/>
    <w:rsid w:val="00F72D85"/>
    <w:rsid w:val="00FC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0FA6F"/>
  <w15:chartTrackingRefBased/>
  <w15:docId w15:val="{A9B6F762-E507-4013-8E91-854D6B6C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spacing w:after="0" w:line="240" w:lineRule="auto"/>
      <w:ind w:left="2694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spacing w:after="0" w:line="240" w:lineRule="auto"/>
      <w:ind w:left="1701"/>
      <w:jc w:val="center"/>
      <w:outlineLvl w:val="2"/>
    </w:pPr>
    <w:rPr>
      <w:rFonts w:ascii="Times New Roman" w:eastAsia="Times New Roman" w:hAnsi="Times New Roman"/>
      <w:b/>
      <w:bCs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66A93"/>
    <w:pPr>
      <w:keepNext/>
      <w:spacing w:after="0" w:line="240" w:lineRule="auto"/>
      <w:ind w:left="1134"/>
      <w:jc w:val="center"/>
      <w:outlineLvl w:val="3"/>
    </w:pPr>
    <w:rPr>
      <w:rFonts w:ascii="Times New Roman" w:eastAsia="Times New Roman" w:hAnsi="Times New Roman"/>
      <w:b/>
      <w:bCs/>
      <w:sz w:val="40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C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noProof/>
      <w:kern w:val="1"/>
      <w:sz w:val="24"/>
      <w:szCs w:val="24"/>
      <w:lang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E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A24FD"/>
    <w:rPr>
      <w:color w:val="0563C1" w:themeColor="hyperlink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366A93"/>
    <w:rPr>
      <w:rFonts w:ascii="Times New Roman" w:eastAsia="Times New Roman" w:hAnsi="Times New Roman"/>
      <w:b/>
      <w:bCs/>
      <w:sz w:val="40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35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ustice.gov.sk/PortalApp/ObchodnyVestnik/Formular/FormularDetailHtml.aspx?IdFormular=21722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ovnickakomora.sk" TargetMode="External"/><Relationship Id="rId1" Type="http://schemas.openxmlformats.org/officeDocument/2006/relationships/hyperlink" Target="mailto:sekretariat@polovnictvo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%20Giertli\Desktop\Hlavicka_SPK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Hlavicka_SPK.DOTX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Giertli</dc:creator>
  <cp:keywords/>
  <cp:lastModifiedBy>Anton Giertli</cp:lastModifiedBy>
  <cp:revision>2</cp:revision>
  <dcterms:created xsi:type="dcterms:W3CDTF">2020-02-06T13:23:00Z</dcterms:created>
  <dcterms:modified xsi:type="dcterms:W3CDTF">2020-02-06T13:23:00Z</dcterms:modified>
</cp:coreProperties>
</file>